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D4855" w:rsidRPr="002D48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2D4855" w:rsidRPr="002D4855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4855" w:rsidRPr="002D4855" w:rsidRDefault="002D4855" w:rsidP="002D485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4/3/TPV_9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4/3/TPV_9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2D4855" w:rsidRPr="002D4855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2D4855" w:rsidRPr="002D4855" w:rsidRDefault="002D4855" w:rsidP="002D485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proofErr w:type="spellStart"/>
                        <w:r w:rsidRPr="002D4855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NexPrene</w:t>
                        </w:r>
                        <w:proofErr w:type="spellEnd"/>
                        <w:r w:rsidRPr="002D4855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TPEs</w:t>
                        </w:r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Colorable 9000 Series Materials</w:t>
                        </w:r>
                      </w:p>
                    </w:tc>
                  </w:tr>
                </w:tbl>
                <w:p w:rsidR="002D4855" w:rsidRPr="002D4855" w:rsidRDefault="002D4855" w:rsidP="002D485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2D4855" w:rsidRPr="002D4855" w:rsidRDefault="002D4855" w:rsidP="002D4855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2D4855" w:rsidRPr="002D485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2D4855" w:rsidRPr="002D4855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4855" w:rsidRPr="002D4855" w:rsidRDefault="002D4855" w:rsidP="002D485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D4855" w:rsidRPr="002D4855" w:rsidRDefault="002D4855" w:rsidP="002D485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2D4855" w:rsidRPr="002D4855" w:rsidRDefault="002D4855" w:rsidP="002D4855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materials in the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® 9000 series are fully vulcanized thermoplastic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elastomers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, ranging in hardness from 25 Shore A to 50 Shore D. Each of these materials has a clean, white, natural appearance for ease and economy of coloring. All the materials in the series are non-hygroscopic, so they require no pre-drying for injection molding or extrusion.</w:t>
                  </w:r>
                </w:p>
                <w:p w:rsidR="002D4855" w:rsidRPr="002D4855" w:rsidRDefault="002D4855" w:rsidP="002D4855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Materials in this series exhibit mechanical properties — such as resistance to compression set or oil swell — that are as good as, or superior to, conventional TPEs. In addition, parts produced using grades in the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9000 series demonstrate very low fogging characteristics.</w:t>
                  </w:r>
                </w:p>
                <w:p w:rsidR="002D4855" w:rsidRPr="002D4855" w:rsidRDefault="002D4855" w:rsidP="002D4855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anchor distT="0" distB="0" distL="0" distR="0" simplePos="0" relativeHeight="251660288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933575" cy="1590675"/>
                        <wp:effectExtent l="19050" t="0" r="9525" b="0"/>
                        <wp:wrapSquare wrapText="bothSides"/>
                        <wp:docPr id="3" name="图片 2" descr="TPV_NEXPRENE_COLOR9000-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PV_NEXPRENE_COLOR9000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combination of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colorability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and performance makes materials in the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9000 series suitable for demanding applications where bright or subtle colors are desired, such as consumer products, automotive interiors, or automotive and construction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weatherseals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</w:t>
                  </w:r>
                </w:p>
                <w:p w:rsidR="002D4855" w:rsidRPr="002D4855" w:rsidRDefault="002D4855" w:rsidP="002D4855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proofErr w:type="spellStart"/>
                  <w:r w:rsidRPr="002D4855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2D4855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® 9000 series — Technical Data</w:t>
                  </w:r>
                </w:p>
                <w:p w:rsidR="002D4855" w:rsidRPr="002D4855" w:rsidRDefault="002D4855" w:rsidP="002D4855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Products in this series are identified by their hardness ratings in the last two positions of the product name — e.g., </w:t>
                  </w:r>
                  <w:proofErr w:type="spellStart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2D4855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9055A TPE has a nominal hardness that measures 55 Shore A. </w:t>
                  </w:r>
                  <w:r w:rsidRPr="002D4855">
                    <w:rPr>
                      <w:rFonts w:ascii="Arial" w:eastAsia="宋体" w:hAnsi="Arial" w:cs="Arial"/>
                      <w:i/>
                      <w:iCs/>
                      <w:color w:val="0080FF"/>
                      <w:kern w:val="0"/>
                      <w:sz w:val="18"/>
                    </w:rPr>
                    <w:t>For technical data on one of the materials in the 9000 series, click on the product designation below: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64"/>
                    <w:gridCol w:w="2349"/>
                    <w:gridCol w:w="2382"/>
                  </w:tblGrid>
                  <w:tr w:rsidR="002D4855" w:rsidRPr="002D4855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2D4855" w:rsidRPr="002D4855" w:rsidRDefault="002D4855" w:rsidP="002D485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7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9035A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9040A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9050A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4855" w:rsidRPr="002D4855" w:rsidRDefault="002D4855" w:rsidP="002D485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1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2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9060A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3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9065A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4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9075A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5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9080A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D4855" w:rsidRPr="002D4855" w:rsidRDefault="002D4855" w:rsidP="002D4855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6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9085A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7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9090A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8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9040D</w:t>
                          </w:r>
                        </w:hyperlink>
                        <w:r w:rsidRPr="002D4855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9" w:tgtFrame="_blank" w:history="1">
                          <w:r w:rsidRPr="002D4855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9050D</w:t>
                          </w:r>
                        </w:hyperlink>
                      </w:p>
                    </w:tc>
                  </w:tr>
                </w:tbl>
                <w:p w:rsidR="002D4855" w:rsidRPr="002D4855" w:rsidRDefault="002D4855" w:rsidP="002D4855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2D4855" w:rsidRPr="002D4855" w:rsidRDefault="002D4855" w:rsidP="002D4855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Pr="002D4855" w:rsidRDefault="00B856D5"/>
    <w:sectPr w:rsidR="00B856D5" w:rsidRPr="002D4855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4855"/>
    <w:rsid w:val="002D4855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855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semiHidden/>
    <w:unhideWhenUsed/>
    <w:rsid w:val="002D48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2D4855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2D4855"/>
    <w:rPr>
      <w:b/>
      <w:bCs/>
      <w:color w:val="0065CE"/>
      <w:sz w:val="18"/>
      <w:szCs w:val="18"/>
    </w:rPr>
  </w:style>
  <w:style w:type="character" w:styleId="a5">
    <w:name w:val="Emphasis"/>
    <w:basedOn w:val="a0"/>
    <w:uiPriority w:val="20"/>
    <w:qFormat/>
    <w:rsid w:val="002D4855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2D485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D48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1/0/5/1/0/NexPrene_9040A_07.pdf" TargetMode="External"/><Relationship Id="rId13" Type="http://schemas.openxmlformats.org/officeDocument/2006/relationships/hyperlink" Target="http://www.apo.lyondellbasell.com/static/wma/pdf/1/0/5/1/7/NexPrene_9065A_07.pdf" TargetMode="External"/><Relationship Id="rId18" Type="http://schemas.openxmlformats.org/officeDocument/2006/relationships/hyperlink" Target="http://www.apo.lyondellbasell.com/static/wma/pdf/1/0/5/1/1/NexPrene_9040D_07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po.lyondellbasell.com/static/wma/pdf/1/0/5/0/9/NexPrene_9035A_07.pdf" TargetMode="External"/><Relationship Id="rId12" Type="http://schemas.openxmlformats.org/officeDocument/2006/relationships/hyperlink" Target="http://www.apo.lyondellbasell.com/static/wma/pdf/1/0/5/1/6/NexPrene_9060A_07.pdf" TargetMode="External"/><Relationship Id="rId17" Type="http://schemas.openxmlformats.org/officeDocument/2006/relationships/hyperlink" Target="http://www.apo.lyondellbasell.com/static/wma/pdf/1/0/5/2/3/NexPrene_9090A_0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static/wma/pdf/1/0/5/2/1/NexPrene_9085A_07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po.lyondellbasell.com/static/wma/pdf/1/0/5/1/5/NexPrene_9055A_07.pdf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apo.lyondellbasell.com/static/wma/pdf/1/0/5/2/0/NexPrene_9080A_07.pdf" TargetMode="External"/><Relationship Id="rId10" Type="http://schemas.openxmlformats.org/officeDocument/2006/relationships/hyperlink" Target="http://www.apo.lyondellbasell.com/static/wma/pdf/1/0/5/1/3/NexPrene_9050A_07.pdf" TargetMode="External"/><Relationship Id="rId19" Type="http://schemas.openxmlformats.org/officeDocument/2006/relationships/hyperlink" Target="http://www.apo.lyondellbasell.com/static/wma/pdf/1/0/5/1/4/NexPrene_9050D_07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static/wma/pdf/1/0/5/1/2/NexPrene_9045A_07.pdf" TargetMode="External"/><Relationship Id="rId14" Type="http://schemas.openxmlformats.org/officeDocument/2006/relationships/hyperlink" Target="http://www.apo.lyondellbasell.com/static/wma/pdf/1/0/5/1/9/NexPrene_9075A_07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2008-03-06T04:57:00Z</dcterms:created>
  <dcterms:modified xsi:type="dcterms:W3CDTF">2008-03-06T04:57:00Z</dcterms:modified>
</cp:coreProperties>
</file>